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0"/>
        <w:rPr>
          <w:rFonts w:ascii="Titillium Web" w:cs="Titillium Web" w:eastAsia="Titillium Web" w:hAnsi="Titillium Web"/>
          <w:i w:val="1"/>
          <w:sz w:val="23.82939338684082"/>
          <w:szCs w:val="23.82939338684082"/>
        </w:rPr>
      </w:pPr>
      <w:bookmarkStart w:colFirst="0" w:colLast="0" w:name="_sg6zba1r8lwl" w:id="0"/>
      <w:bookmarkEnd w:id="0"/>
      <w:r w:rsidDel="00000000" w:rsidR="00000000" w:rsidRPr="00000000">
        <w:rPr>
          <w:rtl w:val="0"/>
        </w:rPr>
        <w:t xml:space="preserve">ACCORDO DI RETE DI SCOPO</w:t>
      </w:r>
      <w:r w:rsidDel="00000000" w:rsidR="00000000" w:rsidRPr="00000000">
        <w:rPr>
          <w:rFonts w:ascii="Titillium Web" w:cs="Titillium Web" w:eastAsia="Titillium Web" w:hAnsi="Titillium Web"/>
          <w:i w:val="1"/>
          <w:sz w:val="23.82939338684082"/>
          <w:szCs w:val="23.82939338684082"/>
          <w:rtl w:val="0"/>
        </w:rPr>
        <w:tab/>
        <w:tab/>
        <w:tab/>
      </w:r>
    </w:p>
    <w:p w:rsidR="00000000" w:rsidDel="00000000" w:rsidP="00000000" w:rsidRDefault="00000000" w:rsidRPr="00000000" w14:paraId="00000002">
      <w:pPr>
        <w:widowControl w:val="0"/>
        <w:spacing w:before="33.9105224609375" w:line="240" w:lineRule="auto"/>
        <w:ind w:left="90" w:firstLine="0"/>
        <w:rPr>
          <w:rFonts w:ascii="Titillium Web" w:cs="Titillium Web" w:eastAsia="Titillium Web" w:hAnsi="Titillium Web"/>
          <w:i w:val="1"/>
          <w:sz w:val="23.82939338684082"/>
          <w:szCs w:val="23.82939338684082"/>
        </w:rPr>
      </w:pPr>
      <w:r w:rsidDel="00000000" w:rsidR="00000000" w:rsidRPr="00000000">
        <w:rPr>
          <w:rFonts w:ascii="Titillium Web" w:cs="Titillium Web" w:eastAsia="Titillium Web" w:hAnsi="Titillium Web"/>
          <w:i w:val="1"/>
          <w:sz w:val="23.82939338684082"/>
          <w:szCs w:val="23.82939338684082"/>
          <w:rtl w:val="0"/>
        </w:rPr>
        <w:tab/>
        <w:tab/>
        <w:tab/>
        <w:tab/>
        <w:tab/>
      </w:r>
    </w:p>
    <w:p w:rsidR="00000000" w:rsidDel="00000000" w:rsidP="00000000" w:rsidRDefault="00000000" w:rsidRPr="00000000" w14:paraId="00000003">
      <w:pPr>
        <w:widowControl w:val="0"/>
        <w:ind w:left="0" w:firstLine="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1575"/>
        <w:gridCol w:w="870"/>
        <w:gridCol w:w="615"/>
        <w:gridCol w:w="1515"/>
        <w:gridCol w:w="3870"/>
        <w:tblGridChange w:id="0">
          <w:tblGrid>
            <w:gridCol w:w="915"/>
            <w:gridCol w:w="1575"/>
            <w:gridCol w:w="870"/>
            <w:gridCol w:w="615"/>
            <w:gridCol w:w="1515"/>
            <w:gridCol w:w="38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L’anno</w:t>
            </w:r>
          </w:p>
        </w:tc>
        <w:tc>
          <w:tcPr>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addì</w:t>
            </w:r>
          </w:p>
        </w:tc>
        <w:tc>
          <w:tcPr>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del mese di</w:t>
            </w:r>
          </w:p>
        </w:tc>
        <w:tc>
          <w:tcPr>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A">
      <w:pPr>
        <w:widowControl w:val="0"/>
        <w:ind w:left="0" w:firstLine="90"/>
        <w:rPr/>
      </w:pPr>
      <w:r w:rsidDel="00000000" w:rsidR="00000000" w:rsidRPr="00000000">
        <w:rPr>
          <w:rtl w:val="0"/>
        </w:rPr>
        <w:t xml:space="preserve">con il presente atto, da valere a tutti gli effetti di legge,</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
        <w:gridCol w:w="2955"/>
        <w:gridCol w:w="915"/>
        <w:gridCol w:w="5085"/>
        <w:tblGridChange w:id="0">
          <w:tblGrid>
            <w:gridCol w:w="405"/>
            <w:gridCol w:w="2955"/>
            <w:gridCol w:w="915"/>
            <w:gridCol w:w="508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w:t>
            </w:r>
          </w:p>
        </w:tc>
        <w:tc>
          <w:tcPr>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alla via</w:t>
            </w:r>
          </w:p>
        </w:tc>
        <w:tc>
          <w:tcPr>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presso la sede dell’Istituzione scolastica</w:t>
            </w:r>
          </w:p>
        </w:tc>
        <w:tc>
          <w:tcPr>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pStyle w:val="Heading3"/>
              <w:widowControl w:val="0"/>
              <w:rPr/>
            </w:pPr>
            <w:bookmarkStart w:colFirst="0" w:colLast="0" w:name="_j28yd0mzxtym" w:id="1"/>
            <w:bookmarkEnd w:id="1"/>
            <w:r w:rsidDel="00000000" w:rsidR="00000000" w:rsidRPr="00000000">
              <w:rPr>
                <w:rtl w:val="0"/>
              </w:rPr>
              <w:t xml:space="preserve">Denominazione della rete:</w:t>
            </w:r>
          </w:p>
        </w:tc>
        <w:tc>
          <w:tcPr>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7">
      <w:pPr>
        <w:pStyle w:val="Heading3"/>
        <w:widowControl w:val="0"/>
        <w:spacing w:after="200" w:lineRule="auto"/>
        <w:ind w:left="90" w:firstLine="0"/>
        <w:rPr/>
      </w:pPr>
      <w:bookmarkStart w:colFirst="0" w:colLast="0" w:name="_g1v42hliy3gi" w:id="2"/>
      <w:bookmarkEnd w:id="2"/>
      <w:r w:rsidDel="00000000" w:rsidR="00000000" w:rsidRPr="00000000">
        <w:rPr>
          <w:rtl w:val="0"/>
        </w:rPr>
        <w:t xml:space="preserve">Fra le Istituzioni scolastiche:</w:t>
      </w:r>
    </w:p>
    <w:tbl>
      <w:tblPr>
        <w:tblStyle w:val="Table3"/>
        <w:tblW w:w="93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2490"/>
        <w:gridCol w:w="2310"/>
        <w:tblGridChange w:id="0">
          <w:tblGrid>
            <w:gridCol w:w="4530"/>
            <w:gridCol w:w="2490"/>
            <w:gridCol w:w="2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Denominazione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 sede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7">
      <w:pPr>
        <w:pStyle w:val="Heading3"/>
        <w:ind w:left="0" w:firstLine="0"/>
        <w:rPr/>
      </w:pPr>
      <w:bookmarkStart w:colFirst="0" w:colLast="0" w:name="_eog03nrd4dje" w:id="3"/>
      <w:bookmarkEnd w:id="3"/>
      <w:r w:rsidDel="00000000" w:rsidR="00000000" w:rsidRPr="00000000">
        <w:rPr>
          <w:rtl w:val="0"/>
        </w:rPr>
        <w:t xml:space="preserve">sono presenti:</w:t>
      </w:r>
    </w:p>
    <w:p w:rsidR="00000000" w:rsidDel="00000000" w:rsidP="00000000" w:rsidRDefault="00000000" w:rsidRPr="00000000" w14:paraId="00000028">
      <w:pPr>
        <w:ind w:left="0" w:firstLine="0"/>
        <w:rPr/>
      </w:pPr>
      <w:r w:rsidDel="00000000" w:rsidR="00000000" w:rsidRPr="00000000">
        <w:rPr>
          <w:rFonts w:ascii="Arial" w:cs="Arial" w:eastAsia="Arial" w:hAnsi="Arial"/>
          <w:rtl w:val="0"/>
        </w:rPr>
        <w:t xml:space="preserve">Il dott./prof. …. , nato/a il….. , c.f. …..  Nella sua qualità di Dirigente Scolastico preposto all'Istituzione scolastica….., suo legale rappresentante pro-tempore, autorizzato alla stipulazione del presente atto con delibera del Consiglio d'Istituto della medesima Istituzione scolastica in data..... </w:t>
      </w:r>
    </w:p>
    <w:p w:rsidR="00000000" w:rsidDel="00000000" w:rsidP="00000000" w:rsidRDefault="00000000" w:rsidRPr="00000000" w14:paraId="00000029">
      <w:pPr>
        <w:ind w:left="0" w:firstLine="0"/>
        <w:rPr>
          <w:rFonts w:ascii="Titillium Web" w:cs="Titillium Web" w:eastAsia="Titillium Web" w:hAnsi="Titillium Web"/>
          <w:i w:val="1"/>
          <w:sz w:val="23.82939338684082"/>
          <w:szCs w:val="23.82939338684082"/>
        </w:rPr>
      </w:pPr>
      <w:r w:rsidDel="00000000" w:rsidR="00000000" w:rsidRPr="00000000">
        <w:rPr>
          <w:rFonts w:ascii="Arial" w:cs="Arial" w:eastAsia="Arial" w:hAnsi="Arial"/>
          <w:rtl w:val="0"/>
        </w:rPr>
        <w:t xml:space="preserve">Il dott./prof. …. , nato/a il….. , c.f. …..  Nella sua qualità di Dirigente Scolastico preposto all'Istituzione scolastica….., suo legale rappresentante pro-tempore, autorizzato alla stipulazione del presente atto con delibera del Consiglio d'Istituto della medesima Istituzione scolastica in data..... </w:t>
      </w:r>
      <w:r w:rsidDel="00000000" w:rsidR="00000000" w:rsidRPr="00000000">
        <w:rPr>
          <w:rFonts w:ascii="Titillium Web" w:cs="Titillium Web" w:eastAsia="Titillium Web" w:hAnsi="Titillium Web"/>
          <w:i w:val="1"/>
          <w:sz w:val="23.82939338684082"/>
          <w:szCs w:val="23.82939338684082"/>
          <w:rtl w:val="0"/>
        </w:rPr>
        <w:tab/>
        <w:tab/>
        <w:tab/>
        <w:tab/>
        <w:tab/>
        <w:tab/>
        <w:tab/>
      </w:r>
    </w:p>
    <w:p w:rsidR="00000000" w:rsidDel="00000000" w:rsidP="00000000" w:rsidRDefault="00000000" w:rsidRPr="00000000" w14:paraId="0000002A">
      <w:pPr>
        <w:pStyle w:val="Heading3"/>
        <w:ind w:left="1530" w:firstLine="0"/>
        <w:rPr>
          <w:rFonts w:ascii="Titillium Web" w:cs="Titillium Web" w:eastAsia="Titillium Web" w:hAnsi="Titillium Web"/>
          <w:i w:val="1"/>
          <w:sz w:val="23.82939338684082"/>
          <w:szCs w:val="23.82939338684082"/>
        </w:rPr>
      </w:pPr>
      <w:bookmarkStart w:colFirst="0" w:colLast="0" w:name="_spejg3j0vt5t" w:id="4"/>
      <w:bookmarkEnd w:id="4"/>
      <w:r w:rsidDel="00000000" w:rsidR="00000000" w:rsidRPr="00000000">
        <w:rPr>
          <w:rtl w:val="0"/>
        </w:rPr>
        <w:t xml:space="preserve">Premesso che:</w:t>
      </w:r>
      <w:r w:rsidDel="00000000" w:rsidR="00000000" w:rsidRPr="00000000">
        <w:rPr>
          <w:rFonts w:ascii="Titillium Web" w:cs="Titillium Web" w:eastAsia="Titillium Web" w:hAnsi="Titillium Web"/>
          <w:i w:val="1"/>
          <w:sz w:val="23.82939338684082"/>
          <w:szCs w:val="23.82939338684082"/>
          <w:rtl w:val="0"/>
        </w:rPr>
        <w:tab/>
        <w:tab/>
        <w:tab/>
        <w:tab/>
        <w:tab/>
      </w:r>
    </w:p>
    <w:p w:rsidR="00000000" w:rsidDel="00000000" w:rsidP="00000000" w:rsidRDefault="00000000" w:rsidRPr="00000000" w14:paraId="0000002B">
      <w:pPr>
        <w:tabs>
          <w:tab w:val="left" w:leader="none" w:pos="1530"/>
          <w:tab w:val="right" w:leader="none" w:pos="1260"/>
        </w:tabs>
        <w:ind w:left="1530" w:hanging="1530"/>
        <w:rPr/>
      </w:pPr>
      <w:r w:rsidDel="00000000" w:rsidR="00000000" w:rsidRPr="00000000">
        <w:rPr>
          <w:rtl w:val="0"/>
        </w:rPr>
        <w:tab/>
      </w:r>
      <w:r w:rsidDel="00000000" w:rsidR="00000000" w:rsidRPr="00000000">
        <w:rPr>
          <w:rtl w:val="0"/>
        </w:rPr>
        <w:t xml:space="preserve">Vista</w:t>
        <w:tab/>
        <w:t xml:space="preserve">la legge 13 luglio 2015, n. 107, con particolare riferimento all'art. 1, comma 66 e seguenti.</w:t>
      </w:r>
    </w:p>
    <w:p w:rsidR="00000000" w:rsidDel="00000000" w:rsidP="00000000" w:rsidRDefault="00000000" w:rsidRPr="00000000" w14:paraId="0000002C">
      <w:pPr>
        <w:tabs>
          <w:tab w:val="left" w:leader="none" w:pos="1530"/>
          <w:tab w:val="right" w:leader="none" w:pos="1260"/>
        </w:tabs>
        <w:ind w:left="1530" w:hanging="1530"/>
        <w:rPr/>
      </w:pPr>
      <w:r w:rsidDel="00000000" w:rsidR="00000000" w:rsidRPr="00000000">
        <w:rPr>
          <w:rtl w:val="0"/>
        </w:rPr>
        <w:tab/>
      </w:r>
      <w:r w:rsidDel="00000000" w:rsidR="00000000" w:rsidRPr="00000000">
        <w:rPr>
          <w:rtl w:val="0"/>
        </w:rPr>
        <w:t xml:space="preserve">Visto</w:t>
        <w:tab/>
        <w:t xml:space="preserve">l'art. 1 comma 70 della legge 13 luglio 2015, n. 107 che dispone che gli Uffici scolastici regionali promuovono la costituzione di reti tra istituzioni scolastiche del medesimo ambito</w:t>
      </w:r>
      <w:r w:rsidDel="00000000" w:rsidR="00000000" w:rsidRPr="00000000">
        <w:rPr>
          <w:rtl w:val="0"/>
        </w:rPr>
        <w:t xml:space="preserve">.</w:t>
      </w:r>
    </w:p>
    <w:p w:rsidR="00000000" w:rsidDel="00000000" w:rsidP="00000000" w:rsidRDefault="00000000" w:rsidRPr="00000000" w14:paraId="0000002D">
      <w:pPr>
        <w:tabs>
          <w:tab w:val="left" w:leader="none" w:pos="1530"/>
          <w:tab w:val="right" w:leader="none" w:pos="1260"/>
        </w:tabs>
        <w:ind w:left="1530" w:hanging="1530"/>
        <w:rPr/>
      </w:pPr>
      <w:r w:rsidDel="00000000" w:rsidR="00000000" w:rsidRPr="00000000">
        <w:rPr>
          <w:rtl w:val="0"/>
        </w:rPr>
        <w:tab/>
        <w:t xml:space="preserve">Visto</w:t>
        <w:tab/>
        <w:t xml:space="preserve">l’art. 2 comma 5, DM 170 del 24 giugno 2022, Definizione dei criteri di riparto delle risorse per le azioni di prevenzione e contrasto della dispersione scolastica in attuazione della linea di investimento 1.4. “Intervento straordinario finalizzato alla riduzione dei divari territoriali nel I e II ciclo della scuola secondaria e alla lotta alla dispersione scolastica” nell’ambito della Missione 4 – Componente 1 – del Piano nazionale di ripresa e resilienza, finanziato dall’Unione europea – Next Generation EU, nel quale viene espressamente richiamato il ricorso a «gemellaggi fra scuole per la disseminazione delle esperienze più efficaci», nel rispetto dei milestone e dei target previsti.</w:t>
      </w:r>
    </w:p>
    <w:p w:rsidR="00000000" w:rsidDel="00000000" w:rsidP="00000000" w:rsidRDefault="00000000" w:rsidRPr="00000000" w14:paraId="0000002E">
      <w:pPr>
        <w:tabs>
          <w:tab w:val="left" w:leader="none" w:pos="1530"/>
          <w:tab w:val="right" w:leader="none" w:pos="1260"/>
        </w:tabs>
        <w:ind w:left="1530" w:hanging="1530"/>
        <w:rPr/>
      </w:pPr>
      <w:r w:rsidDel="00000000" w:rsidR="00000000" w:rsidRPr="00000000">
        <w:rPr>
          <w:rtl w:val="0"/>
        </w:rPr>
        <w:tab/>
        <w:t xml:space="preserve">Viste</w:t>
        <w:tab/>
        <w:t xml:space="preserve">le istruzioni operative prot. 109799 del 30 dicembre 2022 nelle quali, a pag. 6, viene riportato che «le scuole titolari del finanziamento possono stipulare accordi di rete con altre scuole, anche non finanziate dal citato decreto, al fine di poter consentire agli studenti di dette scuole di fruire dei percorsi formativi che saranno attivati con le risorse del progetto» e a pag. 8, dove si richiama nella “Descrizione dettagliata del progetto”, «alla eventuale collaborazione in rete con altre scuole per la realizzazione del progetto».</w:t>
      </w:r>
    </w:p>
    <w:p w:rsidR="00000000" w:rsidDel="00000000" w:rsidP="00000000" w:rsidRDefault="00000000" w:rsidRPr="00000000" w14:paraId="0000002F">
      <w:pPr>
        <w:tabs>
          <w:tab w:val="left" w:leader="none" w:pos="1530"/>
          <w:tab w:val="right" w:leader="none" w:pos="1260"/>
        </w:tabs>
        <w:ind w:left="1530" w:hanging="1530"/>
        <w:rPr/>
      </w:pPr>
      <w:r w:rsidDel="00000000" w:rsidR="00000000" w:rsidRPr="00000000">
        <w:rPr>
          <w:rtl w:val="0"/>
        </w:rPr>
        <w:tab/>
        <w:t xml:space="preserve">Visto</w:t>
        <w:tab/>
      </w:r>
      <w:r w:rsidDel="00000000" w:rsidR="00000000" w:rsidRPr="00000000">
        <w:rPr>
          <w:rtl w:val="0"/>
        </w:rPr>
        <w:t xml:space="preserve">l'Accordo di rete dell'Ambito... sottoscritto in data… </w:t>
      </w:r>
      <w:r w:rsidDel="00000000" w:rsidR="00000000" w:rsidRPr="00000000">
        <w:rPr>
          <w:rtl w:val="0"/>
        </w:rPr>
        <w:t xml:space="preserve">(nel caso di accordo di rete dell’Ambito ancora attivo).</w:t>
      </w:r>
      <w:r w:rsidDel="00000000" w:rsidR="00000000" w:rsidRPr="00000000">
        <w:rPr>
          <w:rtl w:val="0"/>
        </w:rPr>
      </w:r>
    </w:p>
    <w:p w:rsidR="00000000" w:rsidDel="00000000" w:rsidP="00000000" w:rsidRDefault="00000000" w:rsidRPr="00000000" w14:paraId="00000030">
      <w:pPr>
        <w:tabs>
          <w:tab w:val="left" w:leader="none" w:pos="1530"/>
          <w:tab w:val="right" w:leader="none" w:pos="1260"/>
        </w:tabs>
        <w:ind w:left="1530" w:hanging="1530"/>
        <w:rPr/>
      </w:pPr>
      <w:r w:rsidDel="00000000" w:rsidR="00000000" w:rsidRPr="00000000">
        <w:rPr>
          <w:rFonts w:ascii="Arial" w:cs="Arial" w:eastAsia="Arial" w:hAnsi="Arial"/>
          <w:rtl w:val="0"/>
        </w:rPr>
        <w:tab/>
        <w:t xml:space="preserve">Considerato</w:t>
        <w:tab/>
        <w:t xml:space="preserve">che le reti di scopo hanno l’obiettivo di valorizzare e formare le risorse professionali, la gestione comune di funzioni e di attività amministrative, nonché la realizzazione di progetti o di iniziative didattiche, educative, sportive o culturali di interesse territoriale nel medesimo ambito territoriale</w:t>
      </w:r>
      <w:r w:rsidDel="00000000" w:rsidR="00000000" w:rsidRPr="00000000">
        <w:rPr>
          <w:rtl w:val="0"/>
        </w:rPr>
        <w:t xml:space="preserve">.</w:t>
      </w:r>
    </w:p>
    <w:p w:rsidR="00000000" w:rsidDel="00000000" w:rsidP="00000000" w:rsidRDefault="00000000" w:rsidRPr="00000000" w14:paraId="00000031">
      <w:pPr>
        <w:tabs>
          <w:tab w:val="left" w:leader="none" w:pos="1530"/>
          <w:tab w:val="right" w:leader="none" w:pos="1260"/>
        </w:tabs>
        <w:ind w:left="1530" w:hanging="1530"/>
        <w:rPr/>
      </w:pPr>
      <w:r w:rsidDel="00000000" w:rsidR="00000000" w:rsidRPr="00000000">
        <w:rPr>
          <w:rFonts w:ascii="Arial" w:cs="Arial" w:eastAsia="Arial" w:hAnsi="Arial"/>
          <w:rtl w:val="0"/>
        </w:rPr>
        <w:tab/>
        <w:t xml:space="preserve">Visto</w:t>
        <w:tab/>
        <w:t xml:space="preserve">l'art. 7 del D.P.R. 8 marzo 1999, n. 275 prevede la facoltà per le istituzioni scolastiche di promuovere accordi di rete per il raggiungimento delle proprie finalità istituzionali.</w:t>
      </w:r>
    </w:p>
    <w:p w:rsidR="00000000" w:rsidDel="00000000" w:rsidP="00000000" w:rsidRDefault="00000000" w:rsidRPr="00000000" w14:paraId="00000032">
      <w:pPr>
        <w:tabs>
          <w:tab w:val="left" w:leader="none" w:pos="1530"/>
          <w:tab w:val="right" w:leader="none" w:pos="1260"/>
        </w:tabs>
        <w:ind w:left="1530" w:hanging="1530"/>
        <w:rPr/>
      </w:pPr>
      <w:r w:rsidDel="00000000" w:rsidR="00000000" w:rsidRPr="00000000">
        <w:rPr>
          <w:rFonts w:ascii="Arial" w:cs="Arial" w:eastAsia="Arial" w:hAnsi="Arial"/>
          <w:rtl w:val="0"/>
        </w:rPr>
        <w:tab/>
        <w:t xml:space="preserve">Visto</w:t>
        <w:tab/>
        <w:t xml:space="preserve">l'art. 15 della legge 7 agosto 1990, n. 241 in base al quale le amministrazioni pubbliche possono concludere tra loro accordi per disciplinare lo svolgimento in collaborazione di attività di interesse comune.</w:t>
      </w:r>
    </w:p>
    <w:p w:rsidR="00000000" w:rsidDel="00000000" w:rsidP="00000000" w:rsidRDefault="00000000" w:rsidRPr="00000000" w14:paraId="00000033">
      <w:pPr>
        <w:tabs>
          <w:tab w:val="left" w:leader="none" w:pos="1530"/>
          <w:tab w:val="right" w:leader="none" w:pos="1260"/>
        </w:tabs>
        <w:ind w:left="1530" w:hanging="1530"/>
        <w:rPr/>
      </w:pPr>
      <w:r w:rsidDel="00000000" w:rsidR="00000000" w:rsidRPr="00000000">
        <w:rPr>
          <w:rtl w:val="0"/>
        </w:rPr>
        <w:tab/>
        <w:t xml:space="preserve">Considerato</w:t>
        <w:tab/>
        <w:t xml:space="preserve">che le Istituzioni scolastiche sopraddette hanno interesse a collaborare reciprocamente per l'attuazione di iniziative comuni di cui alla progettazione relativa alle “Azioni di prevenzione e contrasto della dispersione scolastica”, (D.M. 170/2022)</w:t>
      </w:r>
    </w:p>
    <w:p w:rsidR="00000000" w:rsidDel="00000000" w:rsidP="00000000" w:rsidRDefault="00000000" w:rsidRPr="00000000" w14:paraId="00000034">
      <w:pPr>
        <w:tabs>
          <w:tab w:val="left" w:leader="none" w:pos="1530"/>
          <w:tab w:val="right" w:leader="none" w:pos="1260"/>
        </w:tabs>
        <w:ind w:left="1530" w:hanging="1530"/>
        <w:rPr>
          <w:rFonts w:ascii="Titillium Web" w:cs="Titillium Web" w:eastAsia="Titillium Web" w:hAnsi="Titillium Web"/>
          <w:i w:val="1"/>
          <w:sz w:val="23.82939338684082"/>
          <w:szCs w:val="23.82939338684082"/>
        </w:rPr>
      </w:pPr>
      <w:r w:rsidDel="00000000" w:rsidR="00000000" w:rsidRPr="00000000">
        <w:rPr>
          <w:rFonts w:ascii="Arial" w:cs="Arial" w:eastAsia="Arial" w:hAnsi="Arial"/>
          <w:rtl w:val="0"/>
        </w:rPr>
        <w:tab/>
        <w:t xml:space="preserve">Considerato</w:t>
        <w:tab/>
        <w:t xml:space="preserve">che tale collaborazione è finalizzata alla miglior realizzazione della funzione della scuola come centro di educazione ed istruzione, nonché come centro di promozione culturale, sociale e civile del territorio; al completamento e miglioramento dell'iter del percorso formativo degli alunni; a favorire una comunicazione più intensa e proficua fra le istituzioni scolastiche; a stimolare e a realizzare, anche attraverso azioni congiunte, l'accrescimento della qualità dei servizi offerti dalle istituzioni scolastiche;</w:t>
      </w:r>
      <w:r w:rsidDel="00000000" w:rsidR="00000000" w:rsidRPr="00000000">
        <w:rPr>
          <w:rtl w:val="0"/>
        </w:rPr>
      </w:r>
    </w:p>
    <w:p w:rsidR="00000000" w:rsidDel="00000000" w:rsidP="00000000" w:rsidRDefault="00000000" w:rsidRPr="00000000" w14:paraId="00000035">
      <w:pPr>
        <w:pStyle w:val="Heading3"/>
        <w:spacing w:before="520" w:lineRule="auto"/>
        <w:rPr/>
      </w:pPr>
      <w:bookmarkStart w:colFirst="0" w:colLast="0" w:name="_qw1mcygjozb" w:id="5"/>
      <w:bookmarkEnd w:id="5"/>
      <w:r w:rsidDel="00000000" w:rsidR="00000000" w:rsidRPr="00000000">
        <w:rPr>
          <w:rtl w:val="0"/>
        </w:rPr>
        <w:t xml:space="preserve">I</w:t>
      </w:r>
      <w:r w:rsidDel="00000000" w:rsidR="00000000" w:rsidRPr="00000000">
        <w:rPr>
          <w:rtl w:val="0"/>
        </w:rPr>
        <w:t xml:space="preserve"> sopraddetti con il presente atto convengono quanto segue:</w:t>
      </w:r>
    </w:p>
    <w:p w:rsidR="00000000" w:rsidDel="00000000" w:rsidP="00000000" w:rsidRDefault="00000000" w:rsidRPr="00000000" w14:paraId="00000036">
      <w:pPr>
        <w:pStyle w:val="Heading2"/>
        <w:tabs>
          <w:tab w:val="left" w:leader="none" w:pos="810"/>
        </w:tabs>
        <w:spacing w:after="0" w:lineRule="auto"/>
        <w:rPr/>
      </w:pPr>
      <w:bookmarkStart w:colFirst="0" w:colLast="0" w:name="_4sgmgsxg8fga" w:id="6"/>
      <w:bookmarkEnd w:id="6"/>
      <w:r w:rsidDel="00000000" w:rsidR="00000000" w:rsidRPr="00000000">
        <w:rPr>
          <w:rtl w:val="0"/>
        </w:rPr>
        <w:t xml:space="preserve">Art</w:t>
      </w:r>
      <w:r w:rsidDel="00000000" w:rsidR="00000000" w:rsidRPr="00000000">
        <w:rPr>
          <w:rtl w:val="0"/>
        </w:rPr>
        <w:t xml:space="preserve">. 1</w:t>
        <w:tab/>
        <w:t xml:space="preserve">Norma di rinvio</w:t>
      </w:r>
    </w:p>
    <w:p w:rsidR="00000000" w:rsidDel="00000000" w:rsidP="00000000" w:rsidRDefault="00000000" w:rsidRPr="00000000" w14:paraId="00000037">
      <w:pPr>
        <w:spacing w:after="0" w:before="80" w:lineRule="auto"/>
        <w:ind w:left="810" w:firstLine="0"/>
        <w:rPr>
          <w:rFonts w:ascii="Titillium Web" w:cs="Titillium Web" w:eastAsia="Titillium Web" w:hAnsi="Titillium Web"/>
          <w:i w:val="1"/>
          <w:sz w:val="23.82939338684082"/>
          <w:szCs w:val="23.82939338684082"/>
        </w:rPr>
      </w:pPr>
      <w:r w:rsidDel="00000000" w:rsidR="00000000" w:rsidRPr="00000000">
        <w:rPr>
          <w:rtl w:val="0"/>
        </w:rPr>
        <w:t xml:space="preserve">La premessa costituisce parte integrante e sostanziale del presente accordo.</w:t>
      </w:r>
      <w:r w:rsidDel="00000000" w:rsidR="00000000" w:rsidRPr="00000000">
        <w:rPr>
          <w:rtl w:val="0"/>
        </w:rPr>
      </w:r>
    </w:p>
    <w:p w:rsidR="00000000" w:rsidDel="00000000" w:rsidP="00000000" w:rsidRDefault="00000000" w:rsidRPr="00000000" w14:paraId="00000038">
      <w:pPr>
        <w:pStyle w:val="Heading2"/>
        <w:rPr/>
      </w:pPr>
      <w:bookmarkStart w:colFirst="0" w:colLast="0" w:name="_tknh96iojk2" w:id="7"/>
      <w:bookmarkEnd w:id="7"/>
      <w:r w:rsidDel="00000000" w:rsidR="00000000" w:rsidRPr="00000000">
        <w:rPr>
          <w:rtl w:val="0"/>
        </w:rPr>
        <w:t xml:space="preserve">Art. 2</w:t>
        <w:tab/>
        <w:t xml:space="preserve">Denominazione della rete</w:t>
        <w:tab/>
        <w:tab/>
        <w:tab/>
        <w:tab/>
      </w:r>
    </w:p>
    <w:p w:rsidR="00000000" w:rsidDel="00000000" w:rsidP="00000000" w:rsidRDefault="00000000" w:rsidRPr="00000000" w14:paraId="00000039">
      <w:pPr>
        <w:ind w:left="810" w:firstLine="0"/>
        <w:rPr/>
      </w:pPr>
      <w:r w:rsidDel="00000000" w:rsidR="00000000" w:rsidRPr="00000000">
        <w:rPr>
          <w:rtl w:val="0"/>
        </w:rPr>
        <w:t xml:space="preserve">E' istituito il collegamento in rete tra le istituzioni scolastiche</w:t>
      </w:r>
    </w:p>
    <w:p w:rsidR="00000000" w:rsidDel="00000000" w:rsidP="00000000" w:rsidRDefault="00000000" w:rsidRPr="00000000" w14:paraId="0000003A">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Codice Mecc.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Denominazione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Provincia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B">
      <w:pPr>
        <w:spacing w:before="200" w:lineRule="auto"/>
        <w:rPr/>
      </w:pPr>
      <w:r w:rsidDel="00000000" w:rsidR="00000000" w:rsidRPr="00000000">
        <w:rPr>
          <w:rtl w:val="0"/>
        </w:rPr>
        <w:t xml:space="preserve">che assume la denominazione di "Rete ...”</w:t>
      </w:r>
    </w:p>
    <w:p w:rsidR="00000000" w:rsidDel="00000000" w:rsidP="00000000" w:rsidRDefault="00000000" w:rsidRPr="00000000" w14:paraId="0000004C">
      <w:pPr>
        <w:pStyle w:val="Heading2"/>
        <w:rPr/>
      </w:pPr>
      <w:bookmarkStart w:colFirst="0" w:colLast="0" w:name="_jdabf4ecr3se" w:id="8"/>
      <w:bookmarkEnd w:id="8"/>
      <w:r w:rsidDel="00000000" w:rsidR="00000000" w:rsidRPr="00000000">
        <w:rPr>
          <w:rtl w:val="0"/>
        </w:rPr>
        <w:t xml:space="preserve">Art. 3</w:t>
        <w:tab/>
        <w:t xml:space="preserve">Oggetto</w:t>
      </w:r>
    </w:p>
    <w:p w:rsidR="00000000" w:rsidDel="00000000" w:rsidP="00000000" w:rsidRDefault="00000000" w:rsidRPr="00000000" w14:paraId="0000004D">
      <w:pPr>
        <w:ind w:left="810" w:firstLine="0"/>
        <w:rPr/>
      </w:pPr>
      <w:r w:rsidDel="00000000" w:rsidR="00000000" w:rsidRPr="00000000">
        <w:rPr>
          <w:rtl w:val="0"/>
        </w:rPr>
        <w:t xml:space="preserve">Il presente accordo ha per oggetto la collaborazione fra Istituzioni scolastiche per la progettazione, realizzazione, monitoraggio e valutazione di cui agli interventi previsti dal D.M. 170 del 24 giugno 2022 e dalle successive istruzioni operative prot. 109799 del 30 dicembre 2022.</w:t>
      </w:r>
    </w:p>
    <w:p w:rsidR="00000000" w:rsidDel="00000000" w:rsidP="00000000" w:rsidRDefault="00000000" w:rsidRPr="00000000" w14:paraId="0000004E">
      <w:pPr>
        <w:pStyle w:val="Heading2"/>
        <w:rPr/>
      </w:pPr>
      <w:bookmarkStart w:colFirst="0" w:colLast="0" w:name="_mrhbznrhktzf" w:id="9"/>
      <w:bookmarkEnd w:id="9"/>
      <w:r w:rsidDel="00000000" w:rsidR="00000000" w:rsidRPr="00000000">
        <w:rPr>
          <w:rtl w:val="0"/>
        </w:rPr>
        <w:t xml:space="preserve">Art. 4</w:t>
        <w:tab/>
        <w:t xml:space="preserve">Finalità</w:t>
      </w:r>
    </w:p>
    <w:p w:rsidR="00000000" w:rsidDel="00000000" w:rsidP="00000000" w:rsidRDefault="00000000" w:rsidRPr="00000000" w14:paraId="0000004F">
      <w:pPr>
        <w:ind w:left="810" w:firstLine="0"/>
        <w:rPr/>
      </w:pPr>
      <w:r w:rsidDel="00000000" w:rsidR="00000000" w:rsidRPr="00000000">
        <w:rPr>
          <w:rtl w:val="0"/>
        </w:rPr>
        <w:t xml:space="preserve">La rete si propone di operare nell’ambito del PIano Nazionale di Ripresa e Resilienza, Missione 4 “Istruzione e Ricerca”, Componente 1 – Potenziamento dell’offerta dei servizi di istruzione: dagli asili nido alle Università, Investimento 1.4: Intervento straordinario finalizzato alla riduzione dei divari territoriali nelle scuole secondarie di primo e di secondo grado e alla lotta alla dispersione scolastica, “Azioni di prevenzione e contrasto della dispersione scolastica” (D.M. 170/2022), con le seguenti finalità:</w:t>
      </w:r>
    </w:p>
    <w:p w:rsidR="00000000" w:rsidDel="00000000" w:rsidP="00000000" w:rsidRDefault="00000000" w:rsidRPr="00000000" w14:paraId="00000050">
      <w:pPr>
        <w:tabs>
          <w:tab w:val="left" w:leader="none" w:pos="1440"/>
        </w:tabs>
        <w:ind w:left="1440" w:hanging="630"/>
        <w:rPr/>
      </w:pPr>
      <w:r w:rsidDel="00000000" w:rsidR="00000000" w:rsidRPr="00000000">
        <w:rPr>
          <w:rtl w:val="0"/>
        </w:rPr>
        <w:t xml:space="preserve">4.1</w:t>
        <w:tab/>
        <w:t xml:space="preserve">promuovere azioni per la prevenzione e il contrasto alla dispersione scolastica e per la riduzione dei divari territoriali nell’istruzione, con preciso riferimento a alle studentesse e agli studenti delle Istituzioni scolastiche della presente rete;</w:t>
      </w:r>
    </w:p>
    <w:p w:rsidR="00000000" w:rsidDel="00000000" w:rsidP="00000000" w:rsidRDefault="00000000" w:rsidRPr="00000000" w14:paraId="00000051">
      <w:pPr>
        <w:tabs>
          <w:tab w:val="left" w:leader="none" w:pos="1440"/>
        </w:tabs>
        <w:ind w:left="1440" w:hanging="630"/>
        <w:rPr/>
      </w:pPr>
      <w:r w:rsidDel="00000000" w:rsidR="00000000" w:rsidRPr="00000000">
        <w:rPr>
          <w:rtl w:val="0"/>
        </w:rPr>
        <w:t xml:space="preserve">4.2</w:t>
        <w:tab/>
        <w:t xml:space="preserve">coordinare tutte le attività istruttorie consistenti nella progettazione e realizzazione di uno o più percorsi, inerenti alle tipologie di attività ammissibili, con riferimento alla nota nota prot. n. 60586 del 13 luglio 2022 del Ministro dell’istruzione, “Orientamenti per l’attuazione degli interventi nelle scuole” in relazione all’attuazione delle misure di cui al citato decreto ministeriale n. 170 del 2022:</w:t>
      </w:r>
    </w:p>
    <w:p w:rsidR="00000000" w:rsidDel="00000000" w:rsidP="00000000" w:rsidRDefault="00000000" w:rsidRPr="00000000" w14:paraId="00000052">
      <w:pPr>
        <w:ind w:left="2160" w:hanging="720"/>
        <w:rPr/>
      </w:pPr>
      <w:r w:rsidDel="00000000" w:rsidR="00000000" w:rsidRPr="00000000">
        <w:rPr>
          <w:rtl w:val="0"/>
        </w:rPr>
        <w:t xml:space="preserve">4.2.1</w:t>
        <w:tab/>
        <w:t xml:space="preserve">mentoring e orientamento;</w:t>
      </w:r>
    </w:p>
    <w:p w:rsidR="00000000" w:rsidDel="00000000" w:rsidP="00000000" w:rsidRDefault="00000000" w:rsidRPr="00000000" w14:paraId="00000053">
      <w:pPr>
        <w:ind w:left="2160" w:hanging="720"/>
        <w:rPr/>
      </w:pPr>
      <w:r w:rsidDel="00000000" w:rsidR="00000000" w:rsidRPr="00000000">
        <w:rPr>
          <w:rtl w:val="0"/>
        </w:rPr>
        <w:t xml:space="preserve">4.2.2</w:t>
        <w:tab/>
        <w:t xml:space="preserve">potenziamento delle competenze di base;</w:t>
      </w:r>
    </w:p>
    <w:p w:rsidR="00000000" w:rsidDel="00000000" w:rsidP="00000000" w:rsidRDefault="00000000" w:rsidRPr="00000000" w14:paraId="00000054">
      <w:pPr>
        <w:ind w:left="2160" w:hanging="720"/>
        <w:rPr/>
      </w:pPr>
      <w:r w:rsidDel="00000000" w:rsidR="00000000" w:rsidRPr="00000000">
        <w:rPr>
          <w:rtl w:val="0"/>
        </w:rPr>
        <w:t xml:space="preserve">4.2.3</w:t>
        <w:tab/>
        <w:t xml:space="preserve">motivazione e accompagnamento;</w:t>
      </w:r>
    </w:p>
    <w:p w:rsidR="00000000" w:rsidDel="00000000" w:rsidP="00000000" w:rsidRDefault="00000000" w:rsidRPr="00000000" w14:paraId="00000055">
      <w:pPr>
        <w:ind w:left="2160" w:hanging="720"/>
        <w:rPr/>
      </w:pPr>
      <w:r w:rsidDel="00000000" w:rsidR="00000000" w:rsidRPr="00000000">
        <w:rPr>
          <w:rtl w:val="0"/>
        </w:rPr>
        <w:t xml:space="preserve">4.2.4</w:t>
        <w:tab/>
        <w:t xml:space="preserve">orientamento per le famiglie;</w:t>
      </w:r>
    </w:p>
    <w:p w:rsidR="00000000" w:rsidDel="00000000" w:rsidP="00000000" w:rsidRDefault="00000000" w:rsidRPr="00000000" w14:paraId="00000056">
      <w:pPr>
        <w:ind w:left="2160" w:hanging="720"/>
        <w:rPr/>
      </w:pPr>
      <w:r w:rsidDel="00000000" w:rsidR="00000000" w:rsidRPr="00000000">
        <w:rPr>
          <w:rtl w:val="0"/>
        </w:rPr>
        <w:t xml:space="preserve">4.2.5</w:t>
        <w:tab/>
        <w:t xml:space="preserve">percorsi formativi e laboratoriali co-curricolari;</w:t>
      </w:r>
    </w:p>
    <w:p w:rsidR="00000000" w:rsidDel="00000000" w:rsidP="00000000" w:rsidRDefault="00000000" w:rsidRPr="00000000" w14:paraId="00000057">
      <w:pPr>
        <w:ind w:left="2160" w:hanging="720"/>
        <w:rPr/>
      </w:pPr>
      <w:r w:rsidDel="00000000" w:rsidR="00000000" w:rsidRPr="00000000">
        <w:rPr>
          <w:rtl w:val="0"/>
        </w:rPr>
        <w:t xml:space="preserve">4.2.6</w:t>
        <w:tab/>
        <w:t xml:space="preserve">organizzazione di team per la prevenzione;</w:t>
      </w:r>
    </w:p>
    <w:p w:rsidR="00000000" w:rsidDel="00000000" w:rsidP="00000000" w:rsidRDefault="00000000" w:rsidRPr="00000000" w14:paraId="00000058">
      <w:pPr>
        <w:ind w:left="1440" w:hanging="630"/>
        <w:rPr>
          <w:sz w:val="26"/>
          <w:szCs w:val="26"/>
        </w:rPr>
      </w:pPr>
      <w:r w:rsidDel="00000000" w:rsidR="00000000" w:rsidRPr="00000000">
        <w:rPr>
          <w:rtl w:val="0"/>
        </w:rPr>
        <w:t xml:space="preserve">4.3</w:t>
        <w:tab/>
        <w:t xml:space="preserve">cooperare per la descrizione delle competenze necessarie agli interventi e per il relativo reclutamento delle risorse professionali (interne ed esterne) al fine di poter realizzare i percorsi e le attività di cui al precedente comma 4.2.</w:t>
      </w:r>
      <w:r w:rsidDel="00000000" w:rsidR="00000000" w:rsidRPr="00000000">
        <w:rPr>
          <w:rtl w:val="0"/>
        </w:rPr>
      </w:r>
    </w:p>
    <w:p w:rsidR="00000000" w:rsidDel="00000000" w:rsidP="00000000" w:rsidRDefault="00000000" w:rsidRPr="00000000" w14:paraId="00000059">
      <w:pPr>
        <w:pStyle w:val="Heading2"/>
        <w:rPr/>
      </w:pPr>
      <w:bookmarkStart w:colFirst="0" w:colLast="0" w:name="_47olb6so9i88" w:id="10"/>
      <w:bookmarkEnd w:id="10"/>
      <w:r w:rsidDel="00000000" w:rsidR="00000000" w:rsidRPr="00000000">
        <w:rPr>
          <w:rtl w:val="0"/>
        </w:rPr>
        <w:t xml:space="preserve">Art. 5</w:t>
        <w:tab/>
        <w:t xml:space="preserve">Ruolo e compiti delle Scuola Beneficiarie</w:t>
      </w:r>
    </w:p>
    <w:p w:rsidR="00000000" w:rsidDel="00000000" w:rsidP="00000000" w:rsidRDefault="00000000" w:rsidRPr="00000000" w14:paraId="0000005A">
      <w:pPr>
        <w:spacing w:after="400" w:lineRule="auto"/>
        <w:ind w:left="810" w:firstLine="0"/>
        <w:rPr/>
      </w:pPr>
      <w:r w:rsidDel="00000000" w:rsidR="00000000" w:rsidRPr="00000000">
        <w:rPr>
          <w:rFonts w:ascii="Arial" w:cs="Arial" w:eastAsia="Arial" w:hAnsi="Arial"/>
          <w:rtl w:val="0"/>
        </w:rPr>
        <w:t xml:space="preserve">Al fine della realizzazione delle attività di cui al precedente art. 4, le Istituzioni scolastiche aderenti al presente accordo identificano l’Istituzione scolastica come scuola capofila:</w:t>
      </w:r>
    </w:p>
    <w:tbl>
      <w:tblPr>
        <w:tblStyle w:val="Table5"/>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665"/>
        <w:tblGridChange w:id="0">
          <w:tblGrid>
            <w:gridCol w:w="4665"/>
            <w:gridCol w:w="4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before="0" w:lineRule="auto"/>
              <w:jc w:val="left"/>
              <w:rPr/>
            </w:pPr>
            <w:r w:rsidDel="00000000" w:rsidR="00000000" w:rsidRPr="00000000">
              <w:rPr>
                <w:rtl w:val="0"/>
              </w:rPr>
              <w:t xml:space="preserve">Codice mecc.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before="0" w:lineRule="auto"/>
              <w:jc w:val="left"/>
              <w:rPr/>
            </w:pPr>
            <w:r w:rsidDel="00000000" w:rsidR="00000000" w:rsidRPr="00000000">
              <w:rPr>
                <w:rtl w:val="0"/>
              </w:rPr>
              <w:t xml:space="preserve">Denominazione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before="0" w:lineRule="auto"/>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before="0" w:lineRule="auto"/>
              <w:jc w:val="left"/>
              <w:rPr/>
            </w:pPr>
            <w:r w:rsidDel="00000000" w:rsidR="00000000" w:rsidRPr="00000000">
              <w:rPr>
                <w:rtl w:val="0"/>
              </w:rPr>
            </w:r>
          </w:p>
        </w:tc>
      </w:tr>
    </w:tbl>
    <w:p w:rsidR="00000000" w:rsidDel="00000000" w:rsidP="00000000" w:rsidRDefault="00000000" w:rsidRPr="00000000" w14:paraId="0000005F">
      <w:pPr>
        <w:ind w:left="810" w:firstLine="0"/>
        <w:rPr/>
      </w:pPr>
      <w:r w:rsidDel="00000000" w:rsidR="00000000" w:rsidRPr="00000000">
        <w:rPr>
          <w:rtl w:val="0"/>
        </w:rPr>
        <w:t xml:space="preserve">Che avrà il compito di:</w:t>
      </w:r>
    </w:p>
    <w:p w:rsidR="00000000" w:rsidDel="00000000" w:rsidP="00000000" w:rsidRDefault="00000000" w:rsidRPr="00000000" w14:paraId="00000060">
      <w:pPr>
        <w:ind w:left="1440" w:hanging="630"/>
        <w:rPr/>
      </w:pPr>
      <w:r w:rsidDel="00000000" w:rsidR="00000000" w:rsidRPr="00000000">
        <w:rPr>
          <w:rtl w:val="0"/>
        </w:rPr>
        <w:t xml:space="preserve">5.1</w:t>
        <w:tab/>
        <w:t xml:space="preserve">raccogliere e conservare la documentazione di cui ai comma 4.2 (progettazione e realizzazione dei percorsi) e 4.3 (descrizione delle competenze e reclutamento);</w:t>
      </w:r>
    </w:p>
    <w:p w:rsidR="00000000" w:rsidDel="00000000" w:rsidP="00000000" w:rsidRDefault="00000000" w:rsidRPr="00000000" w14:paraId="00000061">
      <w:pPr>
        <w:ind w:left="1440" w:hanging="630"/>
        <w:rPr/>
      </w:pPr>
      <w:r w:rsidDel="00000000" w:rsidR="00000000" w:rsidRPr="00000000">
        <w:rPr>
          <w:rtl w:val="0"/>
        </w:rPr>
        <w:t xml:space="preserve">5.2</w:t>
        <w:tab/>
        <w:t xml:space="preserve">attivare una rete di comunicazione tecnologica, efficace ed efficiente, al fine di sintonizzare, coordinare tutte le attività intraprese dalle Istituzioni aderenti al presente accordo;</w:t>
      </w:r>
    </w:p>
    <w:p w:rsidR="00000000" w:rsidDel="00000000" w:rsidP="00000000" w:rsidRDefault="00000000" w:rsidRPr="00000000" w14:paraId="00000062">
      <w:pPr>
        <w:ind w:left="1440" w:hanging="630"/>
        <w:rPr>
          <w:rFonts w:ascii="Titillium Web" w:cs="Titillium Web" w:eastAsia="Titillium Web" w:hAnsi="Titillium Web"/>
          <w:i w:val="1"/>
          <w:sz w:val="23.82939338684082"/>
          <w:szCs w:val="23.82939338684082"/>
        </w:rPr>
      </w:pPr>
      <w:r w:rsidDel="00000000" w:rsidR="00000000" w:rsidRPr="00000000">
        <w:rPr>
          <w:rtl w:val="0"/>
        </w:rPr>
        <w:t xml:space="preserve">5.3</w:t>
        <w:tab/>
        <w:t xml:space="preserve">monitorare le attività in raccordo con l’USR della Toscana ai fini della raccolta di dati quantitativi e qualitativi di cui all’art. 3 (oggetto) del presente accordo.</w:t>
      </w:r>
      <w:r w:rsidDel="00000000" w:rsidR="00000000" w:rsidRPr="00000000">
        <w:rPr>
          <w:rtl w:val="0"/>
        </w:rPr>
      </w:r>
    </w:p>
    <w:p w:rsidR="00000000" w:rsidDel="00000000" w:rsidP="00000000" w:rsidRDefault="00000000" w:rsidRPr="00000000" w14:paraId="00000063">
      <w:pPr>
        <w:pStyle w:val="Heading2"/>
        <w:rPr/>
      </w:pPr>
      <w:bookmarkStart w:colFirst="0" w:colLast="0" w:name="_ao6wf9kulbpo" w:id="11"/>
      <w:bookmarkEnd w:id="11"/>
      <w:r w:rsidDel="00000000" w:rsidR="00000000" w:rsidRPr="00000000">
        <w:rPr>
          <w:rtl w:val="0"/>
        </w:rPr>
        <w:t xml:space="preserve">Art. 6</w:t>
        <w:tab/>
        <w:t xml:space="preserve">Conferenza dei dirigenti scolastici della rete di scopo</w:t>
      </w:r>
    </w:p>
    <w:p w:rsidR="00000000" w:rsidDel="00000000" w:rsidP="00000000" w:rsidRDefault="00000000" w:rsidRPr="00000000" w14:paraId="00000064">
      <w:pPr>
        <w:ind w:left="810" w:firstLine="0"/>
        <w:rPr/>
      </w:pPr>
      <w:r w:rsidDel="00000000" w:rsidR="00000000" w:rsidRPr="00000000">
        <w:rPr>
          <w:rFonts w:ascii="Arial" w:cs="Arial" w:eastAsia="Arial" w:hAnsi="Arial"/>
          <w:rtl w:val="0"/>
        </w:rPr>
        <w:t xml:space="preserve">Le progettazioni di cui all’articolo 4 devono essere approvate dalla conferenza dei dirigenti scolastici della rete nonché, ove siano coinvolte materie rientranti nell'ambito della competenza degli organi collegiali (Collegio dei docenti e Consiglio d'Istituto) delle singole istituzioni scolastiche, anche dai competenti organi delle istituzioni scolastiche aderenti e coinvolte dall'attività oggetto del progetto.</w:t>
      </w:r>
    </w:p>
    <w:p w:rsidR="00000000" w:rsidDel="00000000" w:rsidP="00000000" w:rsidRDefault="00000000" w:rsidRPr="00000000" w14:paraId="00000065">
      <w:pPr>
        <w:pStyle w:val="Heading2"/>
        <w:rPr/>
      </w:pPr>
      <w:bookmarkStart w:colFirst="0" w:colLast="0" w:name="_wnynlfosjjb5" w:id="12"/>
      <w:bookmarkEnd w:id="12"/>
      <w:r w:rsidDel="00000000" w:rsidR="00000000" w:rsidRPr="00000000">
        <w:rPr>
          <w:rtl w:val="0"/>
        </w:rPr>
        <w:t xml:space="preserve">Art. 7</w:t>
        <w:tab/>
        <w:t xml:space="preserve">Finanziamento e gestione amministrativo-contabile</w:t>
      </w:r>
    </w:p>
    <w:p w:rsidR="00000000" w:rsidDel="00000000" w:rsidP="00000000" w:rsidRDefault="00000000" w:rsidRPr="00000000" w14:paraId="00000066">
      <w:pPr>
        <w:ind w:left="810" w:firstLine="0"/>
        <w:rPr>
          <w:rFonts w:ascii="Titillium Web" w:cs="Titillium Web" w:eastAsia="Titillium Web" w:hAnsi="Titillium Web"/>
          <w:i w:val="1"/>
          <w:sz w:val="23.82939338684082"/>
          <w:szCs w:val="23.82939338684082"/>
        </w:rPr>
      </w:pPr>
      <w:r w:rsidDel="00000000" w:rsidR="00000000" w:rsidRPr="00000000">
        <w:rPr>
          <w:rtl w:val="0"/>
        </w:rPr>
        <w:t xml:space="preserve">Le Istituzioni scolastiche beneficiarie acquisiranno al proprio bilancio il finanziamento destinato alle azioni di prevenzione e contrasto della dispersione scolastica in attuazione dell'investimento 1.4, finanziato dall'Unione Europea - Next Generation EU e </w:t>
      </w:r>
      <w:r w:rsidDel="00000000" w:rsidR="00000000" w:rsidRPr="00000000">
        <w:rPr>
          <w:b w:val="1"/>
          <w:rtl w:val="0"/>
        </w:rPr>
        <w:t xml:space="preserve">provvederanno autonomamente all’espletamento di tutto quanto previsto dalle “Istruzioni operative” prot. 109799 del 30 dicembre 2022 operando sulla piattaforma unica e integrata per la gestione dei progetti FUTURA PNRR</w:t>
      </w:r>
      <w:r w:rsidDel="00000000" w:rsidR="00000000" w:rsidRPr="00000000">
        <w:rPr>
          <w:rtl w:val="0"/>
        </w:rPr>
        <w:t xml:space="preserve">.</w:t>
        <w:tab/>
      </w:r>
      <w:r w:rsidDel="00000000" w:rsidR="00000000" w:rsidRPr="00000000">
        <w:rPr>
          <w:rtl w:val="0"/>
        </w:rPr>
      </w:r>
    </w:p>
    <w:p w:rsidR="00000000" w:rsidDel="00000000" w:rsidP="00000000" w:rsidRDefault="00000000" w:rsidRPr="00000000" w14:paraId="00000067">
      <w:pPr>
        <w:pStyle w:val="Heading2"/>
        <w:rPr/>
      </w:pPr>
      <w:bookmarkStart w:colFirst="0" w:colLast="0" w:name="_mo2k86a6ilku" w:id="13"/>
      <w:bookmarkEnd w:id="13"/>
      <w:r w:rsidDel="00000000" w:rsidR="00000000" w:rsidRPr="00000000">
        <w:rPr>
          <w:rtl w:val="0"/>
        </w:rPr>
        <w:t xml:space="preserve">Art. 8</w:t>
        <w:tab/>
        <w:t xml:space="preserve">Durata</w:t>
      </w:r>
    </w:p>
    <w:p w:rsidR="00000000" w:rsidDel="00000000" w:rsidP="00000000" w:rsidRDefault="00000000" w:rsidRPr="00000000" w14:paraId="00000068">
      <w:pPr>
        <w:ind w:left="810" w:firstLine="0"/>
        <w:rPr/>
      </w:pPr>
      <w:r w:rsidDel="00000000" w:rsidR="00000000" w:rsidRPr="00000000">
        <w:rPr>
          <w:rFonts w:ascii="Arial" w:cs="Arial" w:eastAsia="Arial" w:hAnsi="Arial"/>
          <w:rtl w:val="0"/>
        </w:rPr>
        <w:t xml:space="preserve">Il presente accordo scadrà al termine della progettualità contemplata dal già citato D.M. 170 del 24 giugno 2022, Definizione dei criteri di riparto delle risorse per le azioni di prevenzione e contrasto della dispersione scolastica in attuazione della linea di investimento 1.4. “Intervento straordinario finalizzato alla riduzione dei divari territoriali nel I e II ciclo della scuola secondaria e alla lotta alla dispersione scolastica” nell’ambito della Missione 4 – Componente 1 – del Piano nazionale di ripresa e resilienza, finanziato dall’Unione europea – Next Generation EU.</w:t>
      </w:r>
    </w:p>
    <w:p w:rsidR="00000000" w:rsidDel="00000000" w:rsidP="00000000" w:rsidRDefault="00000000" w:rsidRPr="00000000" w14:paraId="00000069">
      <w:pPr>
        <w:ind w:left="810" w:firstLine="0"/>
        <w:rPr/>
      </w:pPr>
      <w:r w:rsidDel="00000000" w:rsidR="00000000" w:rsidRPr="00000000">
        <w:rPr>
          <w:rFonts w:ascii="Arial" w:cs="Arial" w:eastAsia="Arial" w:hAnsi="Arial"/>
          <w:rtl w:val="0"/>
        </w:rPr>
        <w:t xml:space="preserve">Non è ammesso il rinnovo tacito.</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spacing w:after="400" w:lineRule="auto"/>
        <w:rPr/>
      </w:pPr>
      <w:r w:rsidDel="00000000" w:rsidR="00000000" w:rsidRPr="00000000">
        <w:rPr>
          <w:rtl w:val="0"/>
        </w:rPr>
        <w:t xml:space="preserve">Data</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Istituzione scolastica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Dirigente Scolastico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8">
      <w:pPr>
        <w:widowControl w:val="0"/>
        <w:spacing w:before="33.9105224609375" w:line="240" w:lineRule="auto"/>
        <w:ind w:left="0" w:firstLine="0"/>
        <w:rPr>
          <w:rFonts w:ascii="Titillium Web" w:cs="Titillium Web" w:eastAsia="Titillium Web" w:hAnsi="Titillium Web"/>
          <w:i w:val="1"/>
          <w:sz w:val="23.82939338684082"/>
          <w:szCs w:val="23.82939338684082"/>
        </w:rPr>
      </w:pPr>
      <w:r w:rsidDel="00000000" w:rsidR="00000000" w:rsidRPr="00000000">
        <w:rPr>
          <w:rFonts w:ascii="Titillium Web" w:cs="Titillium Web" w:eastAsia="Titillium Web" w:hAnsi="Titillium Web"/>
          <w:i w:val="1"/>
          <w:sz w:val="23.82939338684082"/>
          <w:szCs w:val="23.82939338684082"/>
          <w:rtl w:val="0"/>
        </w:rPr>
        <w:tab/>
        <w:tab/>
      </w:r>
    </w:p>
    <w:p w:rsidR="00000000" w:rsidDel="00000000" w:rsidP="00000000" w:rsidRDefault="00000000" w:rsidRPr="00000000" w14:paraId="00000079">
      <w:pPr>
        <w:widowControl w:val="0"/>
        <w:spacing w:before="33.9105224609375" w:line="240" w:lineRule="auto"/>
        <w:ind w:left="90" w:firstLine="0"/>
        <w:rPr>
          <w:rFonts w:ascii="Titillium Web" w:cs="Titillium Web" w:eastAsia="Titillium Web" w:hAnsi="Titillium Web"/>
          <w:i w:val="1"/>
          <w:sz w:val="23.82939338684082"/>
          <w:szCs w:val="23.82939338684082"/>
        </w:rPr>
      </w:pPr>
      <w:r w:rsidDel="00000000" w:rsidR="00000000" w:rsidRPr="00000000">
        <w:rPr>
          <w:rFonts w:ascii="Titillium Web" w:cs="Titillium Web" w:eastAsia="Titillium Web" w:hAnsi="Titillium Web"/>
          <w:i w:val="1"/>
          <w:sz w:val="23.82939338684082"/>
          <w:szCs w:val="23.82939338684082"/>
          <w:rtl w:val="0"/>
        </w:rPr>
        <w:tab/>
        <w:tab/>
        <w:tab/>
        <w:t xml:space="preserve"> </w:t>
        <w:tab/>
        <w:tab/>
      </w:r>
    </w:p>
    <w:p w:rsidR="00000000" w:rsidDel="00000000" w:rsidP="00000000" w:rsidRDefault="00000000" w:rsidRPr="00000000" w14:paraId="0000007A">
      <w:pPr>
        <w:widowControl w:val="0"/>
        <w:spacing w:before="33.9105224609375" w:line="240" w:lineRule="auto"/>
        <w:ind w:left="90" w:firstLine="0"/>
        <w:rPr>
          <w:rFonts w:ascii="Titillium Web" w:cs="Titillium Web" w:eastAsia="Titillium Web" w:hAnsi="Titillium Web"/>
          <w:b w:val="1"/>
          <w:sz w:val="26"/>
          <w:szCs w:val="26"/>
        </w:rPr>
      </w:pPr>
      <w:r w:rsidDel="00000000" w:rsidR="00000000" w:rsidRPr="00000000">
        <w:rPr>
          <w:rtl w:val="0"/>
        </w:rPr>
      </w:r>
    </w:p>
    <w:p w:rsidR="00000000" w:rsidDel="00000000" w:rsidP="00000000" w:rsidRDefault="00000000" w:rsidRPr="00000000" w14:paraId="0000007B">
      <w:pPr>
        <w:ind w:left="90" w:firstLine="0"/>
        <w:rPr>
          <w:rFonts w:ascii="Titillium Web" w:cs="Titillium Web" w:eastAsia="Titillium Web" w:hAnsi="Titillium Web"/>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tillium Web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sz w:val="18"/>
        <w:szCs w:val="18"/>
      </w:rPr>
    </w:pPr>
    <w:r w:rsidDel="00000000" w:rsidR="00000000" w:rsidRPr="00000000">
      <w:rPr>
        <w:sz w:val="18"/>
        <w:szCs w:val="18"/>
        <w:rtl w:val="0"/>
      </w:rPr>
      <w:t xml:space="preserve">Pag.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di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6315"/>
      <w:tblGridChange w:id="0">
        <w:tblGrid>
          <w:gridCol w:w="3045"/>
          <w:gridCol w:w="63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line="240" w:lineRule="auto"/>
            <w:jc w:val="right"/>
            <w:rPr>
              <w:rFonts w:ascii="Titillium Web" w:cs="Titillium Web" w:eastAsia="Titillium Web" w:hAnsi="Titillium Web"/>
            </w:rPr>
          </w:pP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tillium Web" w:cs="Titillium Web" w:eastAsia="Titillium Web" w:hAnsi="Titillium Web"/>
        <w:sz w:val="24"/>
        <w:szCs w:val="24"/>
        <w:lang w:val="en"/>
      </w:rPr>
    </w:rPrDefault>
    <w:pPrDefault>
      <w:pPr>
        <w:spacing w:before="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tabs>
        <w:tab w:val="left" w:leader="none" w:pos="810"/>
      </w:tabs>
      <w:spacing w:after="120" w:before="360" w:lineRule="auto"/>
      <w:ind w:left="810" w:hanging="810"/>
    </w:pPr>
    <w:rPr>
      <w:sz w:val="26"/>
      <w:szCs w:val="26"/>
    </w:rPr>
  </w:style>
  <w:style w:type="paragraph" w:styleId="Heading3">
    <w:name w:val="heading 3"/>
    <w:basedOn w:val="Normal"/>
    <w:next w:val="Normal"/>
    <w:pPr>
      <w:keepNext w:val="1"/>
      <w:keepLines w:val="1"/>
      <w:spacing w:after="80" w:before="320" w:lineRule="auto"/>
    </w:pPr>
    <w:rPr>
      <w:rFonts w:ascii="Titillium Web SemiBold" w:cs="Titillium Web SemiBold" w:eastAsia="Titillium Web SemiBold" w:hAnsi="Titillium Web SemiBold"/>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before="33.9105224609375" w:line="240" w:lineRule="auto"/>
      <w:ind w:left="90" w:firstLine="0"/>
    </w:pPr>
    <w:rPr>
      <w:rFonts w:ascii="Titillium Web SemiBold" w:cs="Titillium Web SemiBold" w:eastAsia="Titillium Web SemiBold" w:hAnsi="Titillium Web SemiBold"/>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itilliumWebSemiBold-regular.ttf"/><Relationship Id="rId2" Type="http://schemas.openxmlformats.org/officeDocument/2006/relationships/font" Target="fonts/TitilliumWebSemiBold-bold.ttf"/><Relationship Id="rId3" Type="http://schemas.openxmlformats.org/officeDocument/2006/relationships/font" Target="fonts/TitilliumWebSemiBold-italic.ttf"/><Relationship Id="rId4" Type="http://schemas.openxmlformats.org/officeDocument/2006/relationships/font" Target="fonts/TitilliumWebSemiBold-boldItalic.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